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EBE0" w14:textId="77777777" w:rsidR="00C85782" w:rsidRDefault="005B12FE">
      <w:pPr>
        <w:pStyle w:val="P68B1DB1-Kopfzeile1"/>
        <w:widowControl w:val="0"/>
      </w:pPr>
      <w:r>
        <w:t xml:space="preserve">Press release </w:t>
      </w:r>
    </w:p>
    <w:p w14:paraId="58A3ABCB" w14:textId="77777777" w:rsidR="00C85782" w:rsidRDefault="00C85782">
      <w:pPr>
        <w:pStyle w:val="Header"/>
        <w:widowControl w:val="0"/>
        <w:rPr>
          <w:rFonts w:ascii="Arial" w:hAnsi="Arial" w:cs="Arial"/>
          <w:b/>
          <w:sz w:val="28"/>
        </w:rPr>
      </w:pPr>
    </w:p>
    <w:p w14:paraId="1A026629" w14:textId="44910FD3" w:rsidR="00C85782" w:rsidRDefault="00A53B1C">
      <w:pPr>
        <w:pStyle w:val="P68B1DB1-Kopfzeile2"/>
        <w:widowControl w:val="0"/>
      </w:pPr>
      <w:r>
        <w:t>14th</w:t>
      </w:r>
      <w:r w:rsidR="005B12FE">
        <w:t xml:space="preserve"> </w:t>
      </w:r>
      <w:r>
        <w:t>December</w:t>
      </w:r>
      <w:r>
        <w:t xml:space="preserve"> </w:t>
      </w:r>
      <w:r w:rsidR="005B12FE">
        <w:t>2020</w:t>
      </w:r>
    </w:p>
    <w:p w14:paraId="6915FD72" w14:textId="77777777" w:rsidR="00C85782" w:rsidRDefault="005B12FE">
      <w:pPr>
        <w:pStyle w:val="P68B1DB1-Standard3"/>
        <w:spacing w:before="100" w:beforeAutospacing="1" w:after="100" w:afterAutospacing="1"/>
        <w:rPr>
          <w:b/>
        </w:rPr>
      </w:pPr>
      <w:r>
        <w:t>Joint press rel</w:t>
      </w:r>
      <w:r w:rsidR="007A53B3">
        <w:t>ease by the Senate Chancellery for</w:t>
      </w:r>
      <w:r>
        <w:t xml:space="preserve"> Science and Research and the State Conference of</w:t>
      </w:r>
      <w:r w:rsidR="007A53B3">
        <w:t xml:space="preserve"> the</w:t>
      </w:r>
      <w:r>
        <w:t xml:space="preserve"> Rectors and Presidents of </w:t>
      </w:r>
      <w:r w:rsidR="007A53B3">
        <w:t xml:space="preserve">the Higher Education Institutions in Berlin </w:t>
      </w:r>
      <w:r>
        <w:t>(LKRP)</w:t>
      </w:r>
    </w:p>
    <w:p w14:paraId="0BA8F45B" w14:textId="77777777" w:rsidR="00C85782" w:rsidRDefault="005B12FE">
      <w:pPr>
        <w:pStyle w:val="P68B1DB1-Standard4"/>
      </w:pPr>
      <w:r>
        <w:t xml:space="preserve">Berlin's </w:t>
      </w:r>
      <w:r w:rsidR="007A53B3">
        <w:t xml:space="preserve">colleges and </w:t>
      </w:r>
      <w:r>
        <w:t xml:space="preserve">universities </w:t>
      </w:r>
      <w:r w:rsidR="007A53B3">
        <w:t>further</w:t>
      </w:r>
      <w:r>
        <w:t xml:space="preserve"> restrict</w:t>
      </w:r>
      <w:r w:rsidR="007A53B3">
        <w:t xml:space="preserve"> operations for the period from </w:t>
      </w:r>
      <w:r>
        <w:t>16</w:t>
      </w:r>
      <w:r w:rsidR="007A53B3">
        <w:t>th</w:t>
      </w:r>
      <w:r>
        <w:t xml:space="preserve"> </w:t>
      </w:r>
      <w:r w:rsidR="007A53B3">
        <w:t xml:space="preserve">December to </w:t>
      </w:r>
      <w:r>
        <w:t>10</w:t>
      </w:r>
      <w:r w:rsidR="007A53B3">
        <w:t>th January</w:t>
      </w:r>
    </w:p>
    <w:p w14:paraId="6BB2F6C9" w14:textId="65291F01" w:rsidR="00C85782" w:rsidRDefault="00C9082D">
      <w:pPr>
        <w:pStyle w:val="P68B1DB1-Standard3"/>
        <w:spacing w:before="100" w:beforeAutospacing="1" w:after="100" w:afterAutospacing="1"/>
      </w:pPr>
      <w:r>
        <w:t>The Senate Chancellery for</w:t>
      </w:r>
      <w:r w:rsidR="005B12FE">
        <w:t xml:space="preserve"> Science and Research and the Berlin </w:t>
      </w:r>
      <w:r>
        <w:t xml:space="preserve">colleges and </w:t>
      </w:r>
      <w:r w:rsidR="005B12FE">
        <w:t xml:space="preserve">universities have agreed on further measures as part of the Berlin </w:t>
      </w:r>
      <w:r>
        <w:t>phased</w:t>
      </w:r>
      <w:r w:rsidR="005B12FE">
        <w:t xml:space="preserve"> plan for </w:t>
      </w:r>
      <w:r>
        <w:t xml:space="preserve">college and </w:t>
      </w:r>
      <w:r w:rsidR="005B12FE">
        <w:t xml:space="preserve">university operations under pandemic conditions in order to take account </w:t>
      </w:r>
      <w:r w:rsidR="006021A6">
        <w:t xml:space="preserve">of </w:t>
      </w:r>
      <w:r w:rsidR="005B12FE">
        <w:t xml:space="preserve">the </w:t>
      </w:r>
      <w:r w:rsidR="00E4222D">
        <w:t xml:space="preserve">colleges’ and </w:t>
      </w:r>
      <w:r w:rsidR="005B12FE">
        <w:t>universities' resp</w:t>
      </w:r>
      <w:r w:rsidR="00465A69">
        <w:t>onsibility</w:t>
      </w:r>
      <w:r w:rsidR="00E4222D">
        <w:t xml:space="preserve"> to society as a whole</w:t>
      </w:r>
      <w:r w:rsidR="00465A69">
        <w:t xml:space="preserve"> for reducing contact</w:t>
      </w:r>
      <w:r w:rsidR="005B12FE">
        <w:t xml:space="preserve"> and the risk of infection. </w:t>
      </w:r>
      <w:r w:rsidR="00DC3176">
        <w:t>B</w:t>
      </w:r>
      <w:r w:rsidR="005B12FE">
        <w:t xml:space="preserve">oth sides </w:t>
      </w:r>
      <w:r w:rsidR="00DC3176">
        <w:t xml:space="preserve">already </w:t>
      </w:r>
      <w:r w:rsidR="005B12FE">
        <w:t>agreed</w:t>
      </w:r>
      <w:r w:rsidR="00DC3176">
        <w:t xml:space="preserve"> on</w:t>
      </w:r>
      <w:r w:rsidR="00DC3176">
        <w:t xml:space="preserve"> 20th October</w:t>
      </w:r>
      <w:r w:rsidR="00DC3176">
        <w:t xml:space="preserve"> 2020</w:t>
      </w:r>
      <w:r w:rsidR="005B12FE">
        <w:t xml:space="preserve"> to forego </w:t>
      </w:r>
      <w:r w:rsidR="00E4222D">
        <w:t>in-person</w:t>
      </w:r>
      <w:r w:rsidR="005B12FE">
        <w:t xml:space="preserve"> events</w:t>
      </w:r>
      <w:r w:rsidR="00033143">
        <w:t xml:space="preserve"> as far as possible</w:t>
      </w:r>
      <w:r w:rsidR="005B12FE">
        <w:t xml:space="preserve"> in the week before Christmas and after New Year's Eve. This agreement </w:t>
      </w:r>
      <w:r w:rsidR="00E23922">
        <w:t>is</w:t>
      </w:r>
      <w:r w:rsidR="005B12FE">
        <w:t xml:space="preserve"> now be</w:t>
      </w:r>
      <w:r w:rsidR="00E23922">
        <w:t>ing</w:t>
      </w:r>
      <w:r w:rsidR="005B12FE">
        <w:t xml:space="preserve"> further adapted:</w:t>
      </w:r>
    </w:p>
    <w:p w14:paraId="4BB271E8" w14:textId="4B77BFD5" w:rsidR="00C85782" w:rsidRDefault="00E9079F">
      <w:pPr>
        <w:pStyle w:val="P68B1DB1-Listenabsatz5"/>
        <w:numPr>
          <w:ilvl w:val="0"/>
          <w:numId w:val="5"/>
        </w:numPr>
        <w:spacing w:before="100" w:beforeAutospacing="1" w:after="100" w:afterAutospacing="1"/>
        <w:contextualSpacing/>
      </w:pPr>
      <w:r>
        <w:t>No</w:t>
      </w:r>
      <w:r w:rsidR="005B12FE">
        <w:t xml:space="preserve"> </w:t>
      </w:r>
      <w:r w:rsidR="00E4222D">
        <w:t>in-person</w:t>
      </w:r>
      <w:r w:rsidR="005B12FE">
        <w:t xml:space="preserve"> events </w:t>
      </w:r>
      <w:r>
        <w:t xml:space="preserve">will take place </w:t>
      </w:r>
      <w:r w:rsidR="005B12FE">
        <w:t xml:space="preserve">at the universities </w:t>
      </w:r>
      <w:r>
        <w:t xml:space="preserve">and colleges </w:t>
      </w:r>
      <w:r w:rsidR="005B12FE">
        <w:t>from 16</w:t>
      </w:r>
      <w:r>
        <w:t>th</w:t>
      </w:r>
      <w:r w:rsidR="005B12FE">
        <w:t xml:space="preserve"> </w:t>
      </w:r>
      <w:r w:rsidR="007F1943">
        <w:t xml:space="preserve">December </w:t>
      </w:r>
      <w:r w:rsidR="004D3A5C">
        <w:t>2020 until</w:t>
      </w:r>
      <w:r w:rsidR="005B12FE">
        <w:t xml:space="preserve"> </w:t>
      </w:r>
      <w:r w:rsidR="007F1943">
        <w:t>10th</w:t>
      </w:r>
      <w:r w:rsidR="007F1943">
        <w:t xml:space="preserve"> </w:t>
      </w:r>
      <w:r w:rsidR="005B12FE">
        <w:t xml:space="preserve">January 2021. </w:t>
      </w:r>
    </w:p>
    <w:p w14:paraId="17C8B8E9" w14:textId="77777777" w:rsidR="00C85782" w:rsidRDefault="00C85782">
      <w:pPr>
        <w:pStyle w:val="ListParagraph"/>
        <w:spacing w:before="100" w:beforeAutospacing="1" w:after="100" w:afterAutospacing="1"/>
        <w:contextualSpacing/>
        <w:rPr>
          <w:rFonts w:ascii="Arial" w:eastAsia="Times New Roman" w:hAnsi="Arial" w:cs="Arial"/>
          <w:sz w:val="24"/>
        </w:rPr>
      </w:pPr>
    </w:p>
    <w:p w14:paraId="0A6A7E24" w14:textId="02EBC7AB" w:rsidR="00C85782" w:rsidRDefault="00E4222D">
      <w:pPr>
        <w:pStyle w:val="P68B1DB1-Listenabsatz5"/>
        <w:numPr>
          <w:ilvl w:val="0"/>
          <w:numId w:val="5"/>
        </w:numPr>
        <w:spacing w:before="100" w:beforeAutospacing="1" w:after="100" w:afterAutospacing="1"/>
        <w:contextualSpacing/>
      </w:pPr>
      <w:r>
        <w:t>E</w:t>
      </w:r>
      <w:r w:rsidR="005B12FE">
        <w:t xml:space="preserve">xceptions </w:t>
      </w:r>
      <w:r>
        <w:t>to this</w:t>
      </w:r>
      <w:r w:rsidR="009A7A07">
        <w:t xml:space="preserve"> </w:t>
      </w:r>
      <w:r>
        <w:t xml:space="preserve">will be made </w:t>
      </w:r>
      <w:r w:rsidR="009A7A07">
        <w:t xml:space="preserve">up </w:t>
      </w:r>
      <w:r w:rsidR="005B12FE">
        <w:t xml:space="preserve">until </w:t>
      </w:r>
      <w:r w:rsidR="009A7A07">
        <w:t xml:space="preserve">18th </w:t>
      </w:r>
      <w:r w:rsidR="009A7A07">
        <w:t>December</w:t>
      </w:r>
      <w:r w:rsidR="005B12FE">
        <w:t xml:space="preserve"> 2020</w:t>
      </w:r>
      <w:r>
        <w:t xml:space="preserve"> for </w:t>
      </w:r>
      <w:r w:rsidR="005B12FE">
        <w:t xml:space="preserve">already planned </w:t>
      </w:r>
      <w:r>
        <w:t>in-person</w:t>
      </w:r>
      <w:r w:rsidR="005B12FE">
        <w:t xml:space="preserve"> exam</w:t>
      </w:r>
      <w:r w:rsidR="00E90834">
        <w:t>ination</w:t>
      </w:r>
      <w:r>
        <w:t>s and</w:t>
      </w:r>
      <w:r w:rsidR="005B12FE">
        <w:t xml:space="preserve"> </w:t>
      </w:r>
      <w:r>
        <w:t xml:space="preserve">absolutely essential </w:t>
      </w:r>
      <w:r w:rsidR="005B12FE">
        <w:t>practical formats</w:t>
      </w:r>
      <w:r w:rsidR="006F266B">
        <w:t xml:space="preserve"> that </w:t>
      </w:r>
      <w:r w:rsidR="005B12FE">
        <w:t>cannot be carried out in digital form. The number of participants is to be limited to an absolute minimum. Particip</w:t>
      </w:r>
      <w:r w:rsidR="00CF35D8">
        <w:t>ation is voluntary for students</w:t>
      </w:r>
      <w:r w:rsidR="004703DD">
        <w:t>,</w:t>
      </w:r>
      <w:r w:rsidR="00CF35D8">
        <w:t xml:space="preserve"> and</w:t>
      </w:r>
      <w:r w:rsidR="00E312C5">
        <w:t xml:space="preserve"> they will not suff</w:t>
      </w:r>
      <w:r w:rsidR="005B12FE">
        <w:t>e</w:t>
      </w:r>
      <w:r w:rsidR="00E312C5">
        <w:t>r any disadvantages if they</w:t>
      </w:r>
      <w:r w:rsidR="005B12FE">
        <w:t xml:space="preserve"> do not participate. </w:t>
      </w:r>
    </w:p>
    <w:p w14:paraId="3275E719" w14:textId="77777777" w:rsidR="00C85782" w:rsidRDefault="00C85782">
      <w:pPr>
        <w:pStyle w:val="ListParagraph"/>
        <w:rPr>
          <w:rFonts w:ascii="Arial" w:eastAsia="Times New Roman" w:hAnsi="Arial" w:cs="Arial"/>
          <w:sz w:val="24"/>
        </w:rPr>
      </w:pPr>
    </w:p>
    <w:p w14:paraId="702F7083" w14:textId="7D976ED3" w:rsidR="00C85782" w:rsidRDefault="003B4904">
      <w:pPr>
        <w:pStyle w:val="P68B1DB1-Listenabsatz5"/>
        <w:numPr>
          <w:ilvl w:val="0"/>
          <w:numId w:val="5"/>
        </w:numPr>
        <w:spacing w:before="100" w:beforeAutospacing="1" w:after="100" w:afterAutospacing="1"/>
        <w:contextualSpacing/>
      </w:pPr>
      <w:r>
        <w:t xml:space="preserve">Practical medical formats at the </w:t>
      </w:r>
      <w:proofErr w:type="spellStart"/>
      <w:r>
        <w:t>Charité</w:t>
      </w:r>
      <w:proofErr w:type="spellEnd"/>
      <w:r>
        <w:t xml:space="preserve"> –</w:t>
      </w:r>
      <w:r w:rsidR="005B12FE">
        <w:t xml:space="preserve"> </w:t>
      </w:r>
      <w:proofErr w:type="spellStart"/>
      <w:r w:rsidR="005B12FE">
        <w:t>Universitätsmedizin</w:t>
      </w:r>
      <w:proofErr w:type="spellEnd"/>
      <w:r w:rsidR="005B12FE">
        <w:t xml:space="preserve"> that cannot be postponed </w:t>
      </w:r>
      <w:r w:rsidR="004703DD">
        <w:t>may still take place</w:t>
      </w:r>
      <w:r w:rsidR="005B12FE">
        <w:t>.</w:t>
      </w:r>
    </w:p>
    <w:p w14:paraId="66FC47E6" w14:textId="77777777" w:rsidR="00C85782" w:rsidRDefault="00C85782">
      <w:pPr>
        <w:pStyle w:val="ListParagraph"/>
        <w:spacing w:before="100" w:beforeAutospacing="1" w:after="100" w:afterAutospacing="1"/>
        <w:contextualSpacing/>
        <w:rPr>
          <w:rFonts w:ascii="Arial" w:eastAsia="Times New Roman" w:hAnsi="Arial" w:cs="Arial"/>
          <w:sz w:val="24"/>
        </w:rPr>
      </w:pPr>
    </w:p>
    <w:p w14:paraId="775F3B90" w14:textId="7171CF9A" w:rsidR="00C85782" w:rsidRDefault="005B12FE">
      <w:pPr>
        <w:pStyle w:val="P68B1DB1-Listenabsatz5"/>
        <w:numPr>
          <w:ilvl w:val="0"/>
          <w:numId w:val="5"/>
        </w:numPr>
        <w:spacing w:before="100" w:beforeAutospacing="1" w:after="100" w:afterAutospacing="1"/>
        <w:contextualSpacing/>
      </w:pPr>
      <w:r>
        <w:t xml:space="preserve">Academic libraries are only </w:t>
      </w:r>
      <w:r w:rsidR="004703DD">
        <w:t>allowe</w:t>
      </w:r>
      <w:r w:rsidR="00E4222D">
        <w:t>d</w:t>
      </w:r>
      <w:r>
        <w:t xml:space="preserve"> to offer onl</w:t>
      </w:r>
      <w:r w:rsidR="00381B10">
        <w:t xml:space="preserve">ine services and loan </w:t>
      </w:r>
      <w:r w:rsidR="004703DD">
        <w:t>facilitie</w:t>
      </w:r>
      <w:r w:rsidR="00381B10">
        <w:t xml:space="preserve">s </w:t>
      </w:r>
      <w:r>
        <w:t xml:space="preserve">from </w:t>
      </w:r>
      <w:r w:rsidR="00172351">
        <w:t>16</w:t>
      </w:r>
      <w:r w:rsidR="00172351" w:rsidRPr="00172351">
        <w:t xml:space="preserve"> </w:t>
      </w:r>
      <w:r w:rsidR="00172351">
        <w:t>December</w:t>
      </w:r>
      <w:r w:rsidR="007F5E89">
        <w:t xml:space="preserve"> 2020 until</w:t>
      </w:r>
      <w:r w:rsidR="00172351">
        <w:t xml:space="preserve"> 10th </w:t>
      </w:r>
      <w:r w:rsidR="00172351">
        <w:t>Januar</w:t>
      </w:r>
      <w:r w:rsidR="00172351">
        <w:t>y</w:t>
      </w:r>
      <w:r>
        <w:t xml:space="preserve"> 2021. </w:t>
      </w:r>
    </w:p>
    <w:p w14:paraId="787EC5A9" w14:textId="20B3D9AC" w:rsidR="00C85782" w:rsidRDefault="005B12FE" w:rsidP="00720D55">
      <w:pPr>
        <w:pStyle w:val="P68B1DB1-Standard3"/>
        <w:spacing w:before="100" w:beforeAutospacing="1" w:after="100" w:afterAutospacing="1"/>
      </w:pPr>
      <w:r>
        <w:t xml:space="preserve">The </w:t>
      </w:r>
      <w:r w:rsidR="00584B56">
        <w:t xml:space="preserve">colleges and </w:t>
      </w:r>
      <w:r>
        <w:t xml:space="preserve">universities are thus still in </w:t>
      </w:r>
      <w:r w:rsidR="005F1F68">
        <w:t>phase</w:t>
      </w:r>
      <w:r>
        <w:t xml:space="preserve"> two of the three-</w:t>
      </w:r>
      <w:r w:rsidR="008F625E">
        <w:t>phas</w:t>
      </w:r>
      <w:r>
        <w:t xml:space="preserve">e Berlin </w:t>
      </w:r>
      <w:r w:rsidR="004B6BE6">
        <w:t>phased</w:t>
      </w:r>
      <w:r w:rsidR="00CB574A">
        <w:t xml:space="preserve"> plan and are able to</w:t>
      </w:r>
      <w:r>
        <w:t xml:space="preserve"> continue to grant their employees, </w:t>
      </w:r>
      <w:r w:rsidR="00CB574A">
        <w:t>researchers</w:t>
      </w:r>
      <w:r>
        <w:t xml:space="preserve"> and artists access to their workplaces. </w:t>
      </w:r>
      <w:r w:rsidR="00CB574A">
        <w:t>It</w:t>
      </w:r>
      <w:r>
        <w:t xml:space="preserve"> is already the case</w:t>
      </w:r>
      <w:r w:rsidR="00630008">
        <w:t>, in</w:t>
      </w:r>
      <w:r w:rsidR="00CB574A">
        <w:t xml:space="preserve"> principle,</w:t>
      </w:r>
      <w:r>
        <w:t xml:space="preserve"> for the 2020/2021 winter semester that state, private </w:t>
      </w:r>
      <w:r w:rsidR="00630008">
        <w:t>and denominational universities</w:t>
      </w:r>
      <w:r>
        <w:t xml:space="preserve"> </w:t>
      </w:r>
      <w:r w:rsidR="006E0732">
        <w:t>and</w:t>
      </w:r>
      <w:r w:rsidR="00630008">
        <w:t xml:space="preserve"> their institutions</w:t>
      </w:r>
      <w:r>
        <w:t xml:space="preserve"> </w:t>
      </w:r>
      <w:r w:rsidR="00630008">
        <w:t>are</w:t>
      </w:r>
      <w:r>
        <w:t xml:space="preserve"> not </w:t>
      </w:r>
      <w:r w:rsidR="00630008">
        <w:t xml:space="preserve">allowed to </w:t>
      </w:r>
      <w:r w:rsidR="004703DD">
        <w:t>open</w:t>
      </w:r>
      <w:r>
        <w:t xml:space="preserve"> to </w:t>
      </w:r>
      <w:r w:rsidR="006E0732">
        <w:t xml:space="preserve">the </w:t>
      </w:r>
      <w:r w:rsidR="00630008">
        <w:t>external</w:t>
      </w:r>
      <w:r w:rsidR="004703DD">
        <w:t xml:space="preserve"> </w:t>
      </w:r>
      <w:r>
        <w:t>public</w:t>
      </w:r>
      <w:r w:rsidR="00630008">
        <w:t>,</w:t>
      </w:r>
      <w:r>
        <w:t xml:space="preserve"> and that </w:t>
      </w:r>
      <w:r w:rsidR="00630008">
        <w:t xml:space="preserve">they carry </w:t>
      </w:r>
      <w:bookmarkStart w:id="0" w:name="_GoBack"/>
      <w:bookmarkEnd w:id="0"/>
      <w:r w:rsidR="00630008">
        <w:t>out their teaching using</w:t>
      </w:r>
      <w:r>
        <w:t xml:space="preserve"> online formats and not in </w:t>
      </w:r>
      <w:r w:rsidR="00630008">
        <w:t>person</w:t>
      </w:r>
      <w:r>
        <w:t>. The current ordinanc</w:t>
      </w:r>
      <w:r w:rsidR="00630008">
        <w:t>e allows exceptions for practical</w:t>
      </w:r>
      <w:r>
        <w:t xml:space="preserve"> formats that cannot be carried out digitally</w:t>
      </w:r>
      <w:r w:rsidR="00630008">
        <w:t xml:space="preserve"> and </w:t>
      </w:r>
      <w:r>
        <w:t>for examinations</w:t>
      </w:r>
      <w:r w:rsidR="00630008">
        <w:t>,</w:t>
      </w:r>
      <w:r>
        <w:t xml:space="preserve"> </w:t>
      </w:r>
      <w:r w:rsidR="00630008">
        <w:t>provided</w:t>
      </w:r>
      <w:r>
        <w:t xml:space="preserve"> the basic </w:t>
      </w:r>
      <w:r w:rsidR="00630008">
        <w:t>requirements</w:t>
      </w:r>
      <w:r>
        <w:t xml:space="preserve"> </w:t>
      </w:r>
      <w:r w:rsidR="00630008">
        <w:t xml:space="preserve">and </w:t>
      </w:r>
      <w:r w:rsidR="00F751CE">
        <w:t>protection</w:t>
      </w:r>
      <w:r>
        <w:t xml:space="preserve"> and hygiene rules</w:t>
      </w:r>
      <w:r w:rsidR="00F751CE">
        <w:t xml:space="preserve"> are adhered to</w:t>
      </w:r>
      <w:r>
        <w:t>.</w:t>
      </w:r>
    </w:p>
    <w:sectPr w:rsidR="00C857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567" w:right="1134" w:bottom="567" w:left="1418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954C" w14:textId="77777777" w:rsidR="005045CE" w:rsidRDefault="005045CE">
      <w:r>
        <w:separator/>
      </w:r>
    </w:p>
  </w:endnote>
  <w:endnote w:type="continuationSeparator" w:id="0">
    <w:p w14:paraId="5BFF23D1" w14:textId="77777777" w:rsidR="005045CE" w:rsidRDefault="005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BJ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FrutigerNextCVLTMedium-Plain">
    <w:altName w:val="FrutigerNextCV LT Medium Plain"/>
    <w:charset w:val="4D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taNormal-Roman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Logo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E7EB" w14:textId="77777777" w:rsidR="00C85782" w:rsidRDefault="00C85782"/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42"/>
      <w:gridCol w:w="2594"/>
    </w:tblGrid>
    <w:tr w:rsidR="00C85782" w14:paraId="21E9DD50" w14:textId="77777777">
      <w:trPr>
        <w:cantSplit/>
      </w:trPr>
      <w:tc>
        <w:tcPr>
          <w:tcW w:w="7542" w:type="dxa"/>
        </w:tcPr>
        <w:p w14:paraId="6C6BE175" w14:textId="77777777" w:rsidR="00C85782" w:rsidRDefault="00C85782">
          <w:pPr>
            <w:pStyle w:val="Header"/>
            <w:tabs>
              <w:tab w:val="clear" w:pos="4819"/>
              <w:tab w:val="clear" w:pos="9071"/>
            </w:tabs>
            <w:rPr>
              <w:sz w:val="12"/>
            </w:rPr>
          </w:pPr>
        </w:p>
      </w:tc>
      <w:tc>
        <w:tcPr>
          <w:tcW w:w="2594" w:type="dxa"/>
        </w:tcPr>
        <w:p w14:paraId="01B54377" w14:textId="77777777" w:rsidR="00C85782" w:rsidRDefault="005B12FE">
          <w:pPr>
            <w:pStyle w:val="P68B1DB1-Standard6"/>
          </w:pPr>
          <w:r>
            <w:t xml:space="preserve">Page </w:t>
          </w:r>
          <w:r>
            <w:fldChar w:fldCharType="begin"/>
          </w:r>
          <w:r>
            <w:instrText xml:space="preserve">PAGE  \* MERGEFORMAT </w:instrText>
          </w:r>
          <w:r>
            <w:fldChar w:fldCharType="separate"/>
          </w:r>
          <w:r w:rsidR="00720D5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NUMPAGES  \* MERGEFORMAT ">
            <w:r w:rsidR="00720D55">
              <w:rPr>
                <w:noProof/>
              </w:rPr>
              <w:t>2</w:t>
            </w:r>
          </w:fldSimple>
        </w:p>
      </w:tc>
    </w:tr>
  </w:tbl>
  <w:p w14:paraId="23DBF892" w14:textId="77777777" w:rsidR="00C85782" w:rsidRDefault="00C85782">
    <w:pPr>
      <w:pStyle w:val="Header"/>
      <w:tabs>
        <w:tab w:val="clear" w:pos="4819"/>
        <w:tab w:val="left" w:pos="7513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827"/>
    </w:tblGrid>
    <w:tr w:rsidR="00C85782" w14:paraId="4C5D4ED0" w14:textId="77777777">
      <w:trPr>
        <w:cantSplit/>
      </w:trPr>
      <w:tc>
        <w:tcPr>
          <w:tcW w:w="5457" w:type="dxa"/>
        </w:tcPr>
        <w:p w14:paraId="06C03244" w14:textId="3B250F28" w:rsidR="00C85782" w:rsidRPr="007A53B3" w:rsidRDefault="005B12FE">
          <w:pPr>
            <w:pStyle w:val="P68B1DB1-Fuzeile7"/>
            <w:tabs>
              <w:tab w:val="left" w:pos="1134"/>
            </w:tabs>
            <w:spacing w:before="40"/>
            <w:rPr>
              <w:lang w:val="de-DE"/>
            </w:rPr>
          </w:pPr>
          <w:r w:rsidRPr="007A53B3">
            <w:rPr>
              <w:lang w:val="de-DE"/>
            </w:rPr>
            <w:t>W</w:t>
          </w:r>
          <w:r w:rsidR="00720D55">
            <w:rPr>
              <w:lang w:val="de-DE"/>
            </w:rPr>
            <w:t>arschauer Str. 41-42</w:t>
          </w:r>
          <w:r w:rsidR="00720D55">
            <w:rPr>
              <w:lang w:val="de-DE"/>
            </w:rPr>
            <w:br/>
          </w:r>
          <w:r w:rsidRPr="007A53B3">
            <w:rPr>
              <w:lang w:val="de-DE"/>
            </w:rPr>
            <w:t>10243 Berlin</w:t>
          </w:r>
        </w:p>
        <w:p w14:paraId="165500FF" w14:textId="77777777" w:rsidR="00C85782" w:rsidRPr="007A53B3" w:rsidRDefault="005B12FE">
          <w:pPr>
            <w:pStyle w:val="P68B1DB1-Fuzeile7"/>
            <w:tabs>
              <w:tab w:val="left" w:pos="1134"/>
            </w:tabs>
            <w:spacing w:before="40"/>
            <w:rPr>
              <w:lang w:val="de-DE"/>
            </w:rPr>
          </w:pPr>
          <w:r w:rsidRPr="007A53B3">
            <w:rPr>
              <w:lang w:val="de-DE"/>
            </w:rPr>
            <w:t>www.berlin.de/sen/wissenschaft</w:t>
          </w:r>
        </w:p>
      </w:tc>
      <w:tc>
        <w:tcPr>
          <w:tcW w:w="3827" w:type="dxa"/>
        </w:tcPr>
        <w:p w14:paraId="5613E325" w14:textId="77777777" w:rsidR="00C85782" w:rsidRDefault="005B12FE">
          <w:pPr>
            <w:pStyle w:val="P68B1DB1-Fuzeile7"/>
            <w:tabs>
              <w:tab w:val="left" w:pos="497"/>
              <w:tab w:val="right" w:pos="4538"/>
            </w:tabs>
          </w:pPr>
          <w:r>
            <w:t>Phone</w:t>
          </w:r>
          <w:r>
            <w:tab/>
            <w:t>+49 (30) 9026 5010</w:t>
          </w:r>
          <w:r>
            <w:br/>
            <w:t>Fax</w:t>
          </w:r>
          <w:r>
            <w:tab/>
            <w:t>+49 (30) 9026 5005</w:t>
          </w:r>
        </w:p>
        <w:p w14:paraId="53FDD83C" w14:textId="77777777" w:rsidR="00C85782" w:rsidRDefault="005B12FE">
          <w:pPr>
            <w:pStyle w:val="P68B1DB1-Fuzeile7"/>
            <w:tabs>
              <w:tab w:val="left" w:pos="497"/>
              <w:tab w:val="right" w:pos="4538"/>
            </w:tabs>
          </w:pPr>
          <w:r>
            <w:t>Email</w:t>
          </w:r>
          <w:r>
            <w:tab/>
            <w:t>pressestelle@wissenschaft.berlin.de</w:t>
          </w:r>
        </w:p>
      </w:tc>
    </w:tr>
  </w:tbl>
  <w:p w14:paraId="32A5534F" w14:textId="77777777" w:rsidR="00C85782" w:rsidRDefault="00C85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32D1" w14:textId="77777777" w:rsidR="005045CE" w:rsidRDefault="005045CE">
      <w:r>
        <w:separator/>
      </w:r>
    </w:p>
  </w:footnote>
  <w:footnote w:type="continuationSeparator" w:id="0">
    <w:p w14:paraId="198386E7" w14:textId="77777777" w:rsidR="005045CE" w:rsidRDefault="00504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417B" w14:textId="77777777" w:rsidR="00C85782" w:rsidRDefault="005B12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F328" w14:textId="77777777" w:rsidR="00C85782" w:rsidRDefault="00C8578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F930" w14:textId="77777777" w:rsidR="00C85782" w:rsidRDefault="005B12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D5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2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  <w:gridCol w:w="3048"/>
    </w:tblGrid>
    <w:tr w:rsidR="00C85782" w14:paraId="3D2AEE71" w14:textId="77777777">
      <w:trPr>
        <w:cantSplit/>
      </w:trPr>
      <w:tc>
        <w:tcPr>
          <w:tcW w:w="6874" w:type="dxa"/>
        </w:tcPr>
        <w:p w14:paraId="03E36C20" w14:textId="77777777" w:rsidR="00C85782" w:rsidRDefault="00C85782">
          <w:pPr>
            <w:pStyle w:val="Header"/>
          </w:pPr>
        </w:p>
      </w:tc>
      <w:tc>
        <w:tcPr>
          <w:tcW w:w="3048" w:type="dxa"/>
        </w:tcPr>
        <w:p w14:paraId="46B7B841" w14:textId="77777777" w:rsidR="00C85782" w:rsidRDefault="00C85782">
          <w:pPr>
            <w:pStyle w:val="Header"/>
            <w:jc w:val="right"/>
            <w:rPr>
              <w:rFonts w:ascii="Berlin Logo" w:hAnsi="Berlin Logo"/>
              <w:color w:val="808080"/>
              <w:sz w:val="72"/>
            </w:rPr>
          </w:pPr>
        </w:p>
      </w:tc>
      <w:tc>
        <w:tcPr>
          <w:tcW w:w="3048" w:type="dxa"/>
        </w:tcPr>
        <w:p w14:paraId="11246B09" w14:textId="77777777" w:rsidR="00C85782" w:rsidRDefault="00C85782">
          <w:pPr>
            <w:pStyle w:val="Header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14:paraId="330A4B67" w14:textId="77777777" w:rsidR="00C85782" w:rsidRDefault="00C85782">
    <w:pPr>
      <w:pStyle w:val="Header"/>
    </w:pPr>
  </w:p>
  <w:p w14:paraId="2CFB8CE7" w14:textId="77777777" w:rsidR="00C85782" w:rsidRDefault="005B12FE">
    <w:pPr>
      <w:pStyle w:val="Header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73F2" w14:textId="77777777" w:rsidR="00C85782" w:rsidRDefault="005B12FE">
    <w:pPr>
      <w:pStyle w:val="Header"/>
      <w:jc w:val="right"/>
    </w:pPr>
    <w:r>
      <w:rPr>
        <w:noProof/>
      </w:rPr>
      <w:drawing>
        <wp:inline distT="0" distB="0" distL="0" distR="0" wp14:anchorId="4883A6B6" wp14:editId="7D9F82EF">
          <wp:extent cx="3941233" cy="46672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_KANZ_WIF_logo_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763" cy="47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BD518" w14:textId="77777777" w:rsidR="00C85782" w:rsidRDefault="00C857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36AA4"/>
    <w:multiLevelType w:val="hybridMultilevel"/>
    <w:tmpl w:val="C9704876"/>
    <w:lvl w:ilvl="0" w:tplc="91D88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9753B"/>
    <w:multiLevelType w:val="hybridMultilevel"/>
    <w:tmpl w:val="4E3CC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E18D8"/>
    <w:multiLevelType w:val="hybridMultilevel"/>
    <w:tmpl w:val="270AF616"/>
    <w:lvl w:ilvl="0" w:tplc="C682F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2"/>
    <w:rsid w:val="00033143"/>
    <w:rsid w:val="00172351"/>
    <w:rsid w:val="00381B10"/>
    <w:rsid w:val="003B4904"/>
    <w:rsid w:val="00465A69"/>
    <w:rsid w:val="004703DD"/>
    <w:rsid w:val="004B6BE6"/>
    <w:rsid w:val="004D3A5C"/>
    <w:rsid w:val="005045CE"/>
    <w:rsid w:val="00584B56"/>
    <w:rsid w:val="005B12FE"/>
    <w:rsid w:val="005F1F68"/>
    <w:rsid w:val="006021A6"/>
    <w:rsid w:val="00630008"/>
    <w:rsid w:val="006E0732"/>
    <w:rsid w:val="006F266B"/>
    <w:rsid w:val="00720D55"/>
    <w:rsid w:val="0079775D"/>
    <w:rsid w:val="007A53B3"/>
    <w:rsid w:val="007F1943"/>
    <w:rsid w:val="007F5E89"/>
    <w:rsid w:val="008F625E"/>
    <w:rsid w:val="009A7A07"/>
    <w:rsid w:val="00A1514C"/>
    <w:rsid w:val="00A251F5"/>
    <w:rsid w:val="00A53B1C"/>
    <w:rsid w:val="00BE2716"/>
    <w:rsid w:val="00C85782"/>
    <w:rsid w:val="00C9082D"/>
    <w:rsid w:val="00CB574A"/>
    <w:rsid w:val="00CF35D8"/>
    <w:rsid w:val="00DC3176"/>
    <w:rsid w:val="00E23922"/>
    <w:rsid w:val="00E312C5"/>
    <w:rsid w:val="00E4222D"/>
    <w:rsid w:val="00E9079F"/>
    <w:rsid w:val="00E90834"/>
    <w:rsid w:val="00F06C67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E94C6"/>
  <w15:docId w15:val="{790B87E4-998B-4D40-86FD-92EF1D2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enBJS" w:hAnsi="SenBJS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rFonts w:cs="Arial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sz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rPr>
      <w:rFonts w:ascii="SenBJS" w:hAnsi="SenBJS"/>
      <w:sz w:val="20"/>
    </w:rPr>
  </w:style>
  <w:style w:type="paragraph" w:styleId="ListBullet">
    <w:name w:val="List Bullet"/>
    <w:basedOn w:val="Normal"/>
    <w:autoRedefine/>
  </w:style>
  <w:style w:type="paragraph" w:styleId="BodyText">
    <w:name w:val="Body Text"/>
    <w:basedOn w:val="Normal"/>
    <w:pPr>
      <w:spacing w:after="240" w:line="360" w:lineRule="atLeast"/>
    </w:pPr>
    <w:rPr>
      <w:rFonts w:ascii="Neo Sans Intel" w:hAnsi="Neo Sans Intel"/>
      <w:sz w:val="24"/>
    </w:rPr>
  </w:style>
  <w:style w:type="paragraph" w:customStyle="1" w:styleId="Intro">
    <w:name w:val="Intro"/>
    <w:basedOn w:val="Normal"/>
    <w:next w:val="BodyText"/>
    <w:pPr>
      <w:spacing w:after="240" w:line="360" w:lineRule="atLeast"/>
    </w:pPr>
    <w:rPr>
      <w:rFonts w:ascii="Neo Sans Intel" w:hAnsi="Neo Sans Intel"/>
      <w:b/>
      <w:color w:val="000000"/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12medium">
    <w:name w:val="12 medium"/>
    <w:rPr>
      <w:rFonts w:ascii="FrutigerNextCVLTMedium-Plain" w:hAnsi="FrutigerNextCVLTMedium-Pla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BodyText3">
    <w:name w:val="Body Text 3"/>
    <w:basedOn w:val="Normal"/>
    <w:rPr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AbsatzStd">
    <w:name w:val="AbsatzStd"/>
    <w:pPr>
      <w:spacing w:line="260" w:lineRule="exact"/>
    </w:pPr>
    <w:rPr>
      <w:rFonts w:ascii="MetaNormal-Roman" w:hAnsi="MetaNormal-Roman" w:cs="Arial"/>
      <w:sz w:val="22"/>
    </w:rPr>
  </w:style>
  <w:style w:type="character" w:customStyle="1" w:styleId="HeaderChar">
    <w:name w:val="Header Char"/>
    <w:link w:val="Header"/>
    <w:uiPriority w:val="99"/>
    <w:rPr>
      <w:rFonts w:ascii="SenBJS" w:hAnsi="SenBJS"/>
      <w:sz w:val="22"/>
    </w:rPr>
  </w:style>
  <w:style w:type="paragraph" w:styleId="NoSpacing">
    <w:name w:val="No Spacing"/>
    <w:uiPriority w:val="1"/>
    <w:qFormat/>
    <w:rPr>
      <w:rFonts w:ascii="SenBJS" w:hAnsi="SenBJS"/>
      <w:sz w:val="22"/>
    </w:rPr>
  </w:style>
  <w:style w:type="character" w:customStyle="1" w:styleId="caps">
    <w:name w:val="caps"/>
    <w:basedOn w:val="DefaultParagraphFont"/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 w:cstheme="minorBidi"/>
      <w:sz w:val="22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SenBJS" w:hAnsi="SenBJS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SenBJS" w:hAnsi="SenBJS"/>
      <w:b/>
    </w:rPr>
  </w:style>
  <w:style w:type="paragraph" w:customStyle="1" w:styleId="P68B1DB1-Kopfzeile1">
    <w:name w:val="P68B1DB1-Kopfzeile1"/>
    <w:basedOn w:val="Header"/>
    <w:rPr>
      <w:rFonts w:ascii="Arial" w:hAnsi="Arial" w:cs="Arial"/>
      <w:b/>
      <w:sz w:val="28"/>
    </w:rPr>
  </w:style>
  <w:style w:type="paragraph" w:customStyle="1" w:styleId="P68B1DB1-Kopfzeile2">
    <w:name w:val="P68B1DB1-Kopfzeile2"/>
    <w:basedOn w:val="Header"/>
    <w:rPr>
      <w:rFonts w:ascii="Arial" w:hAnsi="Arial" w:cs="Arial"/>
      <w:sz w:val="24"/>
    </w:rPr>
  </w:style>
  <w:style w:type="paragraph" w:customStyle="1" w:styleId="P68B1DB1-Standard3">
    <w:name w:val="P68B1DB1-Standard3"/>
    <w:basedOn w:val="Normal"/>
    <w:rPr>
      <w:rFonts w:ascii="Arial" w:hAnsi="Arial" w:cs="Arial"/>
      <w:sz w:val="24"/>
    </w:rPr>
  </w:style>
  <w:style w:type="paragraph" w:customStyle="1" w:styleId="P68B1DB1-Standard4">
    <w:name w:val="P68B1DB1-Standard4"/>
    <w:basedOn w:val="Normal"/>
    <w:rPr>
      <w:rFonts w:ascii="Arial" w:hAnsi="Arial" w:cs="Arial"/>
      <w:b/>
      <w:sz w:val="28"/>
    </w:rPr>
  </w:style>
  <w:style w:type="paragraph" w:customStyle="1" w:styleId="P68B1DB1-Listenabsatz5">
    <w:name w:val="P68B1DB1-Listenabsatz5"/>
    <w:basedOn w:val="ListParagraph"/>
    <w:rPr>
      <w:rFonts w:ascii="Arial" w:eastAsia="Times New Roman" w:hAnsi="Arial" w:cs="Arial"/>
      <w:sz w:val="24"/>
    </w:rPr>
  </w:style>
  <w:style w:type="paragraph" w:customStyle="1" w:styleId="P68B1DB1-Standard6">
    <w:name w:val="P68B1DB1-Standard6"/>
    <w:basedOn w:val="Normal"/>
    <w:rPr>
      <w:sz w:val="18"/>
    </w:rPr>
  </w:style>
  <w:style w:type="paragraph" w:customStyle="1" w:styleId="P68B1DB1-Fuzeile7">
    <w:name w:val="P68B1DB1-Fuzeile7"/>
    <w:basedOn w:val="Footer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1E34-6300-0041-A015-8582ACE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Hofmann, Lukas</dc:creator>
  <cp:lastModifiedBy>Josephine Draper</cp:lastModifiedBy>
  <cp:revision>2</cp:revision>
  <cp:lastPrinted>2019-10-11T12:59:00Z</cp:lastPrinted>
  <dcterms:created xsi:type="dcterms:W3CDTF">2020-12-15T11:21:00Z</dcterms:created>
  <dcterms:modified xsi:type="dcterms:W3CDTF">2020-12-15T11:21:00Z</dcterms:modified>
</cp:coreProperties>
</file>